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SUPPLIER CHANGE POLICY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committed to providing the highest level of client service. To accomplish this, we partner with suppliers who share our dedication to quality. However,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recognizes that there may be instances when suppliers must be changed due to unforeseen circumstances. This policy details the procedure for changing multi-year-term suppliers.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forms critical supplier relationships on a daily basis. We encourage our employees to verify that suppliers on a multi-year term adhere to approved terms and to recommend supplier changes if they believe there is a reasonable cause to do so.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Procedure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believe it is necessary to change a multi-year-term supplier must take the following steps: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a form outlining the following: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Reason(s) for the change, including a list of issues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E.g., quality, missing items, etc.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Supplier's current terms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years remaining on the term, and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Cost of breaking the terms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the form to 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Title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for approval. The following must be attached: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Original contract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Supplier terms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Title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will then submit the form to 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Title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for approval. 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Investigation (Optional Clause)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The [Insert Title] will conduct an investigation into the matter by comparing job orders with the supplier to their current approved terms.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If the [Insert Title] determines that proceeding with the change is necessary, they must submit the following to the President for final approval: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Report of the investigation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Form submitted by the recommending employee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Supplier’s original contract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Supplier’s approved terms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Should the recommendation for change be approved, the supplier will be informed in writing.   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LGcoK9uM53jzxtRQooTvoC5Nw==">CgMxLjAyCGguZ2pkZ3hzOAByITExZE1rSk9nbEtOZnpWYkZjMThleXNhQWw4Ml9HWktJQQ==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